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color w:val="333333"/>
          <w:sz w:val="28"/>
          <w:szCs w:val="28"/>
        </w:rPr>
      </w:pPr>
      <w:r>
        <w:rPr>
          <w:rFonts w:hint="eastAsia" w:ascii="仿宋" w:hAnsi="仿宋" w:eastAsia="仿宋" w:cs="仿宋"/>
          <w:color w:val="333333"/>
          <w:sz w:val="28"/>
          <w:szCs w:val="28"/>
        </w:rPr>
        <w:t>附件：服务需求一览表</w:t>
      </w:r>
    </w:p>
    <w:tbl>
      <w:tblPr>
        <w:tblStyle w:val="4"/>
        <w:tblW w:w="8700"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75"/>
        <w:gridCol w:w="630"/>
        <w:gridCol w:w="2985"/>
        <w:gridCol w:w="2685"/>
        <w:gridCol w:w="70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CellSpacing w:w="0" w:type="dxa"/>
        </w:trPr>
        <w:tc>
          <w:tcPr>
            <w:tcW w:w="97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default" w:ascii="仿宋" w:hAnsi="仿宋" w:eastAsia="仿宋" w:cs="仿宋"/>
                <w:color w:val="333333"/>
                <w:sz w:val="28"/>
                <w:szCs w:val="28"/>
                <w:lang w:val="en-US" w:eastAsia="zh-CN"/>
              </w:rPr>
            </w:pPr>
            <w:r>
              <w:rPr>
                <w:rFonts w:hint="eastAsia" w:ascii="仿宋" w:hAnsi="仿宋" w:cs="仿宋"/>
                <w:color w:val="333333"/>
                <w:sz w:val="28"/>
                <w:szCs w:val="28"/>
                <w:lang w:val="en-US" w:eastAsia="zh-CN"/>
              </w:rPr>
              <w:t>类型</w:t>
            </w:r>
          </w:p>
        </w:tc>
        <w:tc>
          <w:tcPr>
            <w:tcW w:w="63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编号</w:t>
            </w:r>
          </w:p>
        </w:tc>
        <w:tc>
          <w:tcPr>
            <w:tcW w:w="29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内容名称</w:t>
            </w:r>
          </w:p>
        </w:tc>
        <w:tc>
          <w:tcPr>
            <w:tcW w:w="26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技术参数和配置要求</w:t>
            </w:r>
          </w:p>
        </w:tc>
        <w:tc>
          <w:tcPr>
            <w:tcW w:w="7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数量</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97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软件</w:t>
            </w:r>
          </w:p>
        </w:tc>
        <w:tc>
          <w:tcPr>
            <w:tcW w:w="63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1</w:t>
            </w:r>
          </w:p>
        </w:tc>
        <w:tc>
          <w:tcPr>
            <w:tcW w:w="29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rPr>
                <w:rFonts w:hint="eastAsia" w:ascii="仿宋" w:hAnsi="仿宋" w:eastAsia="仿宋" w:cs="仿宋"/>
                <w:color w:val="333333"/>
                <w:sz w:val="28"/>
                <w:szCs w:val="28"/>
                <w:lang w:eastAsia="zh-CN"/>
              </w:rPr>
            </w:pPr>
            <w:r>
              <w:rPr>
                <w:rFonts w:hint="eastAsia" w:ascii="仿宋" w:hAnsi="仿宋" w:eastAsia="仿宋" w:cs="仿宋"/>
                <w:color w:val="333333"/>
                <w:sz w:val="28"/>
                <w:szCs w:val="28"/>
                <w:lang w:eastAsia="zh-CN"/>
              </w:rPr>
              <w:t>网上立案服务平台</w:t>
            </w:r>
          </w:p>
        </w:tc>
        <w:tc>
          <w:tcPr>
            <w:tcW w:w="268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技术参数详见附表1</w:t>
            </w:r>
          </w:p>
        </w:tc>
        <w:tc>
          <w:tcPr>
            <w:tcW w:w="705"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1</w:t>
            </w:r>
          </w:p>
        </w:tc>
        <w:tc>
          <w:tcPr>
            <w:tcW w:w="720"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center"/>
              <w:rPr>
                <w:rFonts w:hint="eastAsia" w:ascii="仿宋" w:hAnsi="仿宋" w:eastAsia="仿宋" w:cs="仿宋"/>
                <w:color w:val="333333"/>
                <w:sz w:val="28"/>
                <w:szCs w:val="28"/>
              </w:rPr>
            </w:pPr>
            <w:r>
              <w:rPr>
                <w:rFonts w:hint="eastAsia" w:ascii="仿宋" w:hAnsi="仿宋" w:eastAsia="仿宋" w:cs="仿宋"/>
                <w:color w:val="333333"/>
                <w:sz w:val="28"/>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8700" w:type="dxa"/>
            <w:gridSpan w:val="6"/>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jc w:val="left"/>
              <w:rPr>
                <w:rFonts w:hint="eastAsia" w:ascii="仿宋" w:hAnsi="仿宋" w:eastAsia="仿宋" w:cs="仿宋"/>
                <w:color w:val="333333"/>
                <w:sz w:val="28"/>
                <w:szCs w:val="28"/>
              </w:rPr>
            </w:pPr>
            <w:r>
              <w:rPr>
                <w:rFonts w:hint="eastAsia" w:ascii="仿宋" w:hAnsi="仿宋" w:eastAsia="仿宋" w:cs="仿宋"/>
                <w:color w:val="333333"/>
                <w:sz w:val="28"/>
                <w:szCs w:val="28"/>
              </w:rPr>
              <w:t>特别要求：需要</w:t>
            </w:r>
            <w:r>
              <w:rPr>
                <w:rFonts w:hint="eastAsia" w:ascii="仿宋" w:hAnsi="仿宋" w:cs="仿宋"/>
                <w:color w:val="333333"/>
                <w:sz w:val="28"/>
                <w:szCs w:val="28"/>
                <w:lang w:val="en-US" w:eastAsia="zh-CN"/>
              </w:rPr>
              <w:t>具有微信</w:t>
            </w:r>
            <w:r>
              <w:rPr>
                <w:rFonts w:hint="eastAsia" w:ascii="仿宋" w:hAnsi="仿宋" w:eastAsia="仿宋" w:cs="仿宋"/>
                <w:color w:val="333333"/>
                <w:sz w:val="28"/>
                <w:szCs w:val="28"/>
              </w:rPr>
              <w:t>版和PC版两个版本</w:t>
            </w:r>
          </w:p>
        </w:tc>
      </w:tr>
    </w:tbl>
    <w:p>
      <w:pPr>
        <w:rPr>
          <w:rFonts w:hint="eastAsia" w:ascii="仿宋" w:hAnsi="仿宋" w:eastAsia="仿宋" w:cs="仿宋"/>
          <w:color w:val="333333"/>
          <w:sz w:val="28"/>
          <w:szCs w:val="28"/>
        </w:rPr>
      </w:pPr>
      <w:r>
        <w:rPr>
          <w:rFonts w:hint="eastAsia" w:ascii="仿宋" w:hAnsi="仿宋" w:eastAsia="仿宋" w:cs="仿宋"/>
          <w:color w:val="333333"/>
          <w:sz w:val="28"/>
          <w:szCs w:val="28"/>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50" w:lineRule="atLeast"/>
        <w:ind w:left="0" w:right="0"/>
        <w:rPr>
          <w:rFonts w:hint="eastAsia" w:ascii="仿宋" w:hAnsi="仿宋" w:eastAsia="仿宋" w:cs="仿宋"/>
          <w:color w:val="333333"/>
          <w:sz w:val="28"/>
          <w:szCs w:val="28"/>
        </w:rPr>
      </w:pPr>
      <w:r>
        <w:rPr>
          <w:rFonts w:hint="eastAsia" w:ascii="仿宋" w:hAnsi="仿宋" w:eastAsia="仿宋" w:cs="仿宋"/>
          <w:color w:val="333333"/>
          <w:sz w:val="28"/>
          <w:szCs w:val="28"/>
        </w:rPr>
        <w:t>附表1 </w:t>
      </w:r>
      <w:r>
        <w:rPr>
          <w:rFonts w:hint="eastAsia" w:ascii="仿宋" w:hAnsi="仿宋" w:cs="仿宋"/>
          <w:color w:val="333333"/>
          <w:sz w:val="28"/>
          <w:szCs w:val="28"/>
          <w:lang w:eastAsia="zh-CN"/>
        </w:rPr>
        <w:t>：</w:t>
      </w:r>
      <w:r>
        <w:rPr>
          <w:rFonts w:hint="eastAsia" w:ascii="仿宋" w:hAnsi="仿宋" w:eastAsia="仿宋" w:cs="仿宋"/>
          <w:color w:val="333333"/>
          <w:sz w:val="28"/>
          <w:szCs w:val="28"/>
          <w:lang w:eastAsia="zh-CN"/>
        </w:rPr>
        <w:t>网上立案服务平台</w:t>
      </w:r>
      <w:r>
        <w:rPr>
          <w:rFonts w:hint="eastAsia" w:ascii="仿宋" w:hAnsi="仿宋" w:eastAsia="仿宋" w:cs="仿宋"/>
          <w:color w:val="333333"/>
          <w:sz w:val="28"/>
          <w:szCs w:val="28"/>
        </w:rPr>
        <w:t>要求</w:t>
      </w:r>
    </w:p>
    <w:tbl>
      <w:tblPr>
        <w:tblStyle w:val="4"/>
        <w:tblW w:w="8297" w:type="dxa"/>
        <w:tblInd w:w="0" w:type="dxa"/>
        <w:shd w:val="clear" w:color="auto" w:fill="auto"/>
        <w:tblLayout w:type="fixed"/>
        <w:tblCellMar>
          <w:top w:w="0" w:type="dxa"/>
          <w:left w:w="0" w:type="dxa"/>
          <w:bottom w:w="0" w:type="dxa"/>
          <w:right w:w="0" w:type="dxa"/>
        </w:tblCellMar>
      </w:tblPr>
      <w:tblGrid>
        <w:gridCol w:w="576"/>
        <w:gridCol w:w="1094"/>
        <w:gridCol w:w="879"/>
        <w:gridCol w:w="5748"/>
      </w:tblGrid>
      <w:tr>
        <w:tblPrEx>
          <w:shd w:val="clear" w:color="auto" w:fill="auto"/>
          <w:tblLayout w:type="fixed"/>
          <w:tblCellMar>
            <w:top w:w="0" w:type="dxa"/>
            <w:left w:w="0" w:type="dxa"/>
            <w:bottom w:w="0" w:type="dxa"/>
            <w:right w:w="0" w:type="dxa"/>
          </w:tblCellMar>
        </w:tblPrEx>
        <w:trPr>
          <w:trHeight w:val="131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r>
              <w:rPr>
                <w:rFonts w:hint="eastAsia" w:ascii="仿宋" w:hAnsi="仿宋" w:eastAsia="仿宋" w:cs="仿宋"/>
                <w:sz w:val="28"/>
                <w:szCs w:val="28"/>
                <w:lang w:val="en-US" w:eastAsia="zh-CN"/>
              </w:rPr>
              <w:t>网上立案服务平台</w:t>
            </w: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用户</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注册</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支持用户登记注册、微信扫码注册等多种注册方式，支持手机动态验证码验证身份、实现实名制注册。</w:t>
            </w:r>
          </w:p>
        </w:tc>
      </w:tr>
      <w:tr>
        <w:tblPrEx>
          <w:tblLayout w:type="fixed"/>
          <w:tblCellMar>
            <w:top w:w="0" w:type="dxa"/>
            <w:left w:w="0" w:type="dxa"/>
            <w:bottom w:w="0" w:type="dxa"/>
            <w:right w:w="0" w:type="dxa"/>
          </w:tblCellMar>
        </w:tblPrEx>
        <w:trPr>
          <w:trHeight w:val="1376"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用户</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登录</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支持用户登录的统一授权认证登录，可提供面向其他第三方应用的开放授权认证机制和接口，支持微信。</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立案</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须知</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对用户提供立案登记需要的材料、账号和流程等信息，支持在线计算仲裁费用，下载文书样本等。</w:t>
            </w:r>
          </w:p>
        </w:tc>
      </w:tr>
      <w:tr>
        <w:tblPrEx>
          <w:tblLayout w:type="fixed"/>
          <w:tblCellMar>
            <w:top w:w="0" w:type="dxa"/>
            <w:left w:w="0" w:type="dxa"/>
            <w:bottom w:w="0" w:type="dxa"/>
            <w:right w:w="0" w:type="dxa"/>
          </w:tblCellMar>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立案</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登记</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为登录用户提供在线登记立案信息的功能，支持在线填报申请人、被申请人、代理人、仲裁请求等数据，支持指定格式和电子证据的上传和检查。（需要与内部案件管理系统对接）</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案件</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列表</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实现展示出当前登录用户所参与的案件的列表，点击案件可以查询更详细的信息或进行相关操作。（需要与案件管理系统对接）</w:t>
            </w:r>
          </w:p>
        </w:tc>
      </w:tr>
      <w:tr>
        <w:tblPrEx>
          <w:tblLayout w:type="fixed"/>
        </w:tblPrEx>
        <w:trPr>
          <w:trHeight w:val="72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案件</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信息</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可以查询获浏览案件的基本信息，主要包含：立案登记号、案号、申请人、被申请人、仲裁请求、证据材料、案件状态等。（需要与案件管理系统对接）</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案件</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进度</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用户可以看到案件的承办人员、联系电话和案件状态、进度等信息。（需要与案件管理系统对接）</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选择</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仲裁员</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允许当事人在线选择仲裁员，选择信息送入内部系统由秘书按照仲裁规则规定的组庭报批流程处理（需要与案件管理系统对接）</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 w:hAnsi="仿宋" w:eastAsia="仿宋" w:cs="仿宋"/>
                <w:sz w:val="28"/>
                <w:szCs w:val="28"/>
                <w:lang w:val="en-US"/>
              </w:rPr>
            </w:pPr>
            <w:r>
              <w:rPr>
                <w:rFonts w:hint="eastAsia" w:ascii="仿宋" w:hAnsi="仿宋" w:eastAsia="仿宋" w:cs="仿宋"/>
                <w:sz w:val="28"/>
                <w:szCs w:val="28"/>
                <w:lang w:val="en-US" w:eastAsia="zh-CN"/>
              </w:rPr>
              <w:t>组庭开庭</w:t>
            </w:r>
            <w:r>
              <w:rPr>
                <w:rFonts w:hint="eastAsia" w:ascii="仿宋" w:hAnsi="仿宋" w:cs="仿宋"/>
                <w:sz w:val="28"/>
                <w:szCs w:val="28"/>
                <w:lang w:val="en-US" w:eastAsia="zh-CN"/>
              </w:rPr>
              <w:t>信息</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允许当事人通过本平台查询网上立案的案件的组庭情况，仲裁员组成情况以及开庭信息。（需要与案件管理系统对接）</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文书下载</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用户可以下载案件的各类格式文书如申请书模板、授权委托书模板、缴费通知书、受理通知书、庭审笔录等。</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仲裁</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规则</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 w:hAnsi="仿宋" w:eastAsia="仿宋" w:cs="仿宋"/>
                <w:sz w:val="28"/>
                <w:szCs w:val="28"/>
                <w:lang w:val="en-US" w:eastAsia="zh-CN"/>
              </w:rPr>
            </w:pPr>
            <w:r>
              <w:rPr>
                <w:rFonts w:hint="eastAsia" w:ascii="仿宋" w:hAnsi="仿宋" w:cs="仿宋"/>
                <w:sz w:val="28"/>
                <w:szCs w:val="28"/>
                <w:lang w:val="en-US" w:eastAsia="zh-CN"/>
              </w:rPr>
              <w:t>提供南通仲裁的仲裁规则，在线展示或者供用户下载</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Zhong</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仲裁员</w:t>
            </w:r>
            <w:r>
              <w:rPr>
                <w:rFonts w:hint="eastAsia" w:ascii="仿宋" w:hAnsi="仿宋" w:cs="仿宋"/>
                <w:sz w:val="28"/>
                <w:szCs w:val="28"/>
                <w:lang w:val="en-US" w:eastAsia="zh-CN"/>
              </w:rPr>
              <w:t>名册</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 w:hAnsi="仿宋" w:eastAsia="仿宋" w:cs="仿宋"/>
                <w:sz w:val="28"/>
                <w:szCs w:val="28"/>
                <w:lang w:val="en-US" w:eastAsia="zh-CN"/>
              </w:rPr>
            </w:pPr>
            <w:r>
              <w:rPr>
                <w:rFonts w:hint="eastAsia" w:ascii="仿宋" w:hAnsi="仿宋" w:cs="仿宋"/>
                <w:sz w:val="28"/>
                <w:szCs w:val="28"/>
                <w:lang w:val="en-US" w:eastAsia="zh-CN"/>
              </w:rPr>
              <w:t>提供南通仲裁的仲裁员名册，在线展示或者供用户下载。</w:t>
            </w:r>
          </w:p>
        </w:tc>
      </w:tr>
      <w:tr>
        <w:tblPrEx>
          <w:tblLayout w:type="fixed"/>
          <w:tblCellMar>
            <w:top w:w="0" w:type="dxa"/>
            <w:left w:w="0" w:type="dxa"/>
            <w:bottom w:w="0" w:type="dxa"/>
            <w:right w:w="0" w:type="dxa"/>
          </w:tblCellMar>
        </w:tblPrEx>
        <w:trPr>
          <w:trHeight w:val="108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立案审查</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具有管理权限的用户可以查看所有案件，对案件状态、全部数据、证据等进行审查，审查流程与目前内部立案审查流程一致，并能够根据网上立案登记的实际情况和进度进行审查、安排缴费、立案等操作。（需要与案件管理系统对接）</w:t>
            </w:r>
          </w:p>
        </w:tc>
      </w:tr>
      <w:tr>
        <w:tblPrEx>
          <w:tblLayout w:type="fixed"/>
          <w:tblCellMar>
            <w:top w:w="0" w:type="dxa"/>
            <w:left w:w="0" w:type="dxa"/>
            <w:bottom w:w="0" w:type="dxa"/>
            <w:right w:w="0"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用户管理</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可以对全部注册用户进行管理，维护用户信息，重置用户密码，设置用户性质和分类等。</w:t>
            </w:r>
          </w:p>
        </w:tc>
      </w:tr>
      <w:tr>
        <w:tblPrEx>
          <w:tblLayout w:type="fixed"/>
          <w:tblCellMar>
            <w:top w:w="0" w:type="dxa"/>
            <w:left w:w="0" w:type="dxa"/>
            <w:bottom w:w="0" w:type="dxa"/>
            <w:right w:w="0" w:type="dxa"/>
          </w:tblCellMar>
        </w:tblPrEx>
        <w:trPr>
          <w:trHeight w:val="54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字典管理</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可以对系统的部分数据和代码，进行字典式的配置和管理，实现部分关键要素字段值的动态配置和管理</w:t>
            </w:r>
          </w:p>
        </w:tc>
      </w:tr>
      <w:tr>
        <w:tblPrEx>
          <w:tblLayout w:type="fixed"/>
          <w:tblCellMar>
            <w:top w:w="0" w:type="dxa"/>
            <w:left w:w="0" w:type="dxa"/>
            <w:bottom w:w="0" w:type="dxa"/>
            <w:right w:w="0"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角色管理</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可以对系统用户的角色和每个角色对应的权限进行动态配置和管理</w:t>
            </w:r>
          </w:p>
        </w:tc>
      </w:tr>
      <w:tr>
        <w:tblPrEx>
          <w:tblLayout w:type="fixed"/>
          <w:tblCellMar>
            <w:top w:w="0" w:type="dxa"/>
            <w:left w:w="0" w:type="dxa"/>
            <w:bottom w:w="0" w:type="dxa"/>
            <w:right w:w="0"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菜单管理</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可以对系统的菜单和每个菜单项对应的功能模块进行动态配置和管理</w:t>
            </w:r>
          </w:p>
        </w:tc>
      </w:tr>
      <w:tr>
        <w:tblPrEx>
          <w:tblLayout w:type="fixed"/>
          <w:tblCellMar>
            <w:top w:w="0" w:type="dxa"/>
            <w:left w:w="0" w:type="dxa"/>
            <w:bottom w:w="0" w:type="dxa"/>
            <w:right w:w="0" w:type="dxa"/>
          </w:tblCellMar>
        </w:tblPrEx>
        <w:trPr>
          <w:trHeight w:val="3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参数管理</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可以对系统的各类参数、图片进行动态的配置和管理</w:t>
            </w:r>
          </w:p>
        </w:tc>
      </w:tr>
      <w:tr>
        <w:tblPrEx>
          <w:tblLayout w:type="fixed"/>
          <w:tblCellMar>
            <w:top w:w="0" w:type="dxa"/>
            <w:left w:w="0" w:type="dxa"/>
            <w:bottom w:w="0" w:type="dxa"/>
            <w:right w:w="0" w:type="dxa"/>
          </w:tblCellMar>
        </w:tblPrEx>
        <w:trPr>
          <w:trHeight w:val="126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多版本多客户端支持</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系统必须具有：PC浏览器版\手机移动版</w:t>
            </w:r>
            <w:r>
              <w:rPr>
                <w:rFonts w:hint="eastAsia" w:ascii="仿宋" w:hAnsi="仿宋" w:cs="仿宋"/>
                <w:sz w:val="28"/>
                <w:szCs w:val="28"/>
                <w:lang w:val="en-US" w:eastAsia="zh-CN"/>
              </w:rPr>
              <w:t>2</w:t>
            </w:r>
            <w:r>
              <w:rPr>
                <w:rFonts w:hint="eastAsia" w:ascii="仿宋" w:hAnsi="仿宋" w:eastAsia="仿宋" w:cs="仿宋"/>
                <w:sz w:val="28"/>
                <w:szCs w:val="28"/>
                <w:lang w:val="en-US" w:eastAsia="zh-CN"/>
              </w:rPr>
              <w:t>个版本,对登录用户使用的终端设备能够进行自动识别和自适应选择，PC端浏览器版本应当支持多种主流浏览器使用,持安卓和苹果等各类型手机。</w:t>
            </w:r>
          </w:p>
        </w:tc>
      </w:tr>
      <w:tr>
        <w:tblPrEx>
          <w:tblLayout w:type="fixed"/>
          <w:tblCellMar>
            <w:top w:w="0" w:type="dxa"/>
            <w:left w:w="0" w:type="dxa"/>
            <w:bottom w:w="0" w:type="dxa"/>
            <w:right w:w="0" w:type="dxa"/>
          </w:tblCellMar>
        </w:tblPrEx>
        <w:trPr>
          <w:trHeight w:val="90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接口开发</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在保障信息安全的前提下，需要开发专用接口并进行统一封装，与</w:t>
            </w:r>
            <w:r>
              <w:rPr>
                <w:rFonts w:hint="eastAsia" w:ascii="仿宋" w:hAnsi="仿宋" w:cs="仿宋"/>
                <w:sz w:val="28"/>
                <w:szCs w:val="28"/>
                <w:lang w:val="en-US" w:eastAsia="zh-CN"/>
              </w:rPr>
              <w:t>南通</w:t>
            </w:r>
            <w:r>
              <w:rPr>
                <w:rFonts w:hint="eastAsia" w:ascii="仿宋" w:hAnsi="仿宋" w:eastAsia="仿宋" w:cs="仿宋"/>
                <w:sz w:val="28"/>
                <w:szCs w:val="28"/>
                <w:lang w:val="en-US" w:eastAsia="zh-CN"/>
              </w:rPr>
              <w:t>仲裁委目前内部使用的案件管理系统（“仲裁业务信息管理系统”） 进行数据对接和文件对接，实现网上立案和内部审查工作流程的无缝衔接。</w:t>
            </w:r>
          </w:p>
        </w:tc>
      </w:tr>
      <w:tr>
        <w:tblPrEx>
          <w:tblLayout w:type="fixed"/>
          <w:tblCellMar>
            <w:top w:w="0" w:type="dxa"/>
            <w:left w:w="0" w:type="dxa"/>
            <w:bottom w:w="0" w:type="dxa"/>
            <w:right w:w="0" w:type="dxa"/>
          </w:tblCellMar>
        </w:tblPrEx>
        <w:trPr>
          <w:trHeight w:val="225"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仿宋" w:hAnsi="仿宋" w:eastAsia="仿宋" w:cs="仿宋"/>
                <w:sz w:val="28"/>
                <w:szCs w:val="28"/>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系统部署</w:t>
            </w:r>
          </w:p>
        </w:tc>
        <w:tc>
          <w:tcPr>
            <w:tcW w:w="5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sz w:val="28"/>
                <w:szCs w:val="28"/>
              </w:rPr>
            </w:pPr>
            <w:r>
              <w:rPr>
                <w:rFonts w:hint="eastAsia" w:ascii="仿宋" w:hAnsi="仿宋" w:eastAsia="仿宋" w:cs="仿宋"/>
                <w:sz w:val="28"/>
                <w:szCs w:val="28"/>
                <w:lang w:val="en-US" w:eastAsia="zh-CN"/>
              </w:rPr>
              <w:t>系统要求部署在云上</w:t>
            </w:r>
            <w:r>
              <w:rPr>
                <w:rFonts w:hint="eastAsia" w:ascii="仿宋" w:hAnsi="仿宋" w:cs="仿宋"/>
                <w:sz w:val="28"/>
                <w:szCs w:val="28"/>
                <w:lang w:val="en-US" w:eastAsia="zh-CN"/>
              </w:rPr>
              <w:t>，并且能与内部业务系统对接</w:t>
            </w:r>
            <w:r>
              <w:rPr>
                <w:rFonts w:hint="eastAsia" w:ascii="仿宋" w:hAnsi="仿宋" w:eastAsia="仿宋" w:cs="仿宋"/>
                <w:sz w:val="28"/>
                <w:szCs w:val="28"/>
                <w:lang w:val="en-US" w:eastAsia="zh-CN"/>
              </w:rPr>
              <w:t>。</w:t>
            </w:r>
          </w:p>
        </w:tc>
      </w:tr>
    </w:tbl>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8"/>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1A0F3C52" w:usb2="00000010"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364FF"/>
    <w:rsid w:val="492364F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360" w:after="360"/>
      <w:jc w:val="both"/>
    </w:pPr>
    <w:rPr>
      <w:rFonts w:ascii="Times New Roman" w:hAnsi="Times New Roman" w:eastAsia="仿宋" w:cstheme="minorBidi"/>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2019-11-25T09:32:00Z</dcterms:created>
  <dc:creator>Administrator</dc:creator>
  <cp:lastModifiedBy>Administrator</cp:lastModifiedBy>
  <dcterms:modified xsi:type="dcterms:W3CDTF">2019-11-25T09:33:28Z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